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968" w:rsidRDefault="007B2968" w:rsidP="00323959">
      <w:pPr>
        <w:spacing w:line="480" w:lineRule="auto"/>
        <w:jc w:val="both"/>
        <w:rPr>
          <w:rFonts w:ascii="Times New Roman" w:hAnsi="Times New Roman" w:cs="Times New Roman"/>
          <w:sz w:val="24"/>
          <w:szCs w:val="24"/>
        </w:rPr>
      </w:pPr>
    </w:p>
    <w:p w:rsidR="007B2968" w:rsidRDefault="007B2968" w:rsidP="00323959">
      <w:pPr>
        <w:spacing w:line="480" w:lineRule="auto"/>
        <w:jc w:val="both"/>
        <w:rPr>
          <w:rFonts w:ascii="Times New Roman" w:hAnsi="Times New Roman" w:cs="Times New Roman"/>
          <w:sz w:val="24"/>
          <w:szCs w:val="24"/>
        </w:rPr>
      </w:pPr>
    </w:p>
    <w:p w:rsidR="007B2968" w:rsidRDefault="007B2968" w:rsidP="00323959">
      <w:pPr>
        <w:spacing w:line="480" w:lineRule="auto"/>
        <w:jc w:val="both"/>
        <w:rPr>
          <w:rFonts w:ascii="Times New Roman" w:hAnsi="Times New Roman" w:cs="Times New Roman"/>
          <w:sz w:val="24"/>
          <w:szCs w:val="24"/>
        </w:rPr>
      </w:pPr>
    </w:p>
    <w:p w:rsidR="007B2968" w:rsidRDefault="007B2968" w:rsidP="007B2968">
      <w:pPr>
        <w:spacing w:line="480" w:lineRule="auto"/>
        <w:jc w:val="center"/>
        <w:rPr>
          <w:rFonts w:ascii="Times New Roman" w:hAnsi="Times New Roman" w:cs="Times New Roman"/>
          <w:sz w:val="24"/>
          <w:szCs w:val="24"/>
        </w:rPr>
      </w:pPr>
    </w:p>
    <w:p w:rsidR="007B2968" w:rsidRDefault="007B2968" w:rsidP="007B2968">
      <w:pPr>
        <w:spacing w:line="480" w:lineRule="auto"/>
        <w:jc w:val="center"/>
        <w:rPr>
          <w:rFonts w:ascii="Times New Roman" w:hAnsi="Times New Roman" w:cs="Times New Roman"/>
          <w:sz w:val="24"/>
          <w:szCs w:val="24"/>
        </w:rPr>
      </w:pPr>
    </w:p>
    <w:p w:rsidR="007B2968" w:rsidRDefault="007B2968" w:rsidP="007B2968">
      <w:pPr>
        <w:spacing w:line="480" w:lineRule="auto"/>
        <w:jc w:val="center"/>
        <w:rPr>
          <w:rFonts w:ascii="Times New Roman" w:hAnsi="Times New Roman" w:cs="Times New Roman"/>
          <w:sz w:val="24"/>
          <w:szCs w:val="24"/>
        </w:rPr>
      </w:pPr>
    </w:p>
    <w:p w:rsidR="007B2968" w:rsidRDefault="007B2968" w:rsidP="007B2968">
      <w:pPr>
        <w:spacing w:line="480" w:lineRule="auto"/>
        <w:jc w:val="center"/>
        <w:rPr>
          <w:rFonts w:ascii="Times New Roman" w:hAnsi="Times New Roman" w:cs="Times New Roman"/>
          <w:b/>
          <w:sz w:val="24"/>
          <w:szCs w:val="24"/>
        </w:rPr>
      </w:pPr>
      <w:r w:rsidRPr="007B2968">
        <w:rPr>
          <w:rFonts w:ascii="Times New Roman" w:hAnsi="Times New Roman" w:cs="Times New Roman"/>
          <w:b/>
          <w:sz w:val="24"/>
          <w:szCs w:val="24"/>
        </w:rPr>
        <w:t>The Exclusionary Rule</w:t>
      </w:r>
    </w:p>
    <w:p w:rsidR="007B2968" w:rsidRDefault="007B2968" w:rsidP="007B296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B2968" w:rsidRDefault="007B2968" w:rsidP="007B296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B2968" w:rsidRDefault="007B2968" w:rsidP="007B296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B2968" w:rsidRPr="007B2968" w:rsidRDefault="007B2968" w:rsidP="007B2968">
      <w:pPr>
        <w:spacing w:line="480" w:lineRule="auto"/>
        <w:jc w:val="center"/>
        <w:rPr>
          <w:rFonts w:ascii="Times New Roman" w:hAnsi="Times New Roman" w:cs="Times New Roman"/>
          <w:sz w:val="24"/>
          <w:szCs w:val="24"/>
        </w:rPr>
      </w:pPr>
    </w:p>
    <w:p w:rsidR="007B2968" w:rsidRDefault="007B2968" w:rsidP="00323959">
      <w:pPr>
        <w:spacing w:line="480" w:lineRule="auto"/>
        <w:jc w:val="both"/>
        <w:rPr>
          <w:rFonts w:ascii="Times New Roman" w:hAnsi="Times New Roman" w:cs="Times New Roman"/>
          <w:sz w:val="24"/>
          <w:szCs w:val="24"/>
        </w:rPr>
      </w:pPr>
    </w:p>
    <w:p w:rsidR="007B2968" w:rsidRDefault="007B2968" w:rsidP="00323959">
      <w:pPr>
        <w:spacing w:line="480" w:lineRule="auto"/>
        <w:jc w:val="both"/>
        <w:rPr>
          <w:rFonts w:ascii="Times New Roman" w:hAnsi="Times New Roman" w:cs="Times New Roman"/>
          <w:sz w:val="24"/>
          <w:szCs w:val="24"/>
        </w:rPr>
      </w:pPr>
    </w:p>
    <w:p w:rsidR="007B2968" w:rsidRDefault="007B2968" w:rsidP="00323959">
      <w:pPr>
        <w:spacing w:line="480" w:lineRule="auto"/>
        <w:jc w:val="both"/>
        <w:rPr>
          <w:rFonts w:ascii="Times New Roman" w:hAnsi="Times New Roman" w:cs="Times New Roman"/>
          <w:sz w:val="24"/>
          <w:szCs w:val="24"/>
        </w:rPr>
      </w:pPr>
    </w:p>
    <w:p w:rsidR="007B2968" w:rsidRDefault="007B2968" w:rsidP="00323959">
      <w:pPr>
        <w:spacing w:line="480" w:lineRule="auto"/>
        <w:jc w:val="both"/>
        <w:rPr>
          <w:rFonts w:ascii="Times New Roman" w:hAnsi="Times New Roman" w:cs="Times New Roman"/>
          <w:sz w:val="24"/>
          <w:szCs w:val="24"/>
        </w:rPr>
      </w:pPr>
    </w:p>
    <w:p w:rsidR="007B2968" w:rsidRDefault="007B2968" w:rsidP="00323959">
      <w:pPr>
        <w:spacing w:line="480" w:lineRule="auto"/>
        <w:jc w:val="both"/>
        <w:rPr>
          <w:rFonts w:ascii="Times New Roman" w:hAnsi="Times New Roman" w:cs="Times New Roman"/>
          <w:sz w:val="24"/>
          <w:szCs w:val="24"/>
        </w:rPr>
      </w:pPr>
    </w:p>
    <w:p w:rsidR="007B2968" w:rsidRDefault="007B2968" w:rsidP="00323959">
      <w:pPr>
        <w:spacing w:line="480" w:lineRule="auto"/>
        <w:jc w:val="both"/>
        <w:rPr>
          <w:rFonts w:ascii="Times New Roman" w:hAnsi="Times New Roman" w:cs="Times New Roman"/>
          <w:sz w:val="24"/>
          <w:szCs w:val="24"/>
        </w:rPr>
      </w:pPr>
    </w:p>
    <w:p w:rsidR="007155BB" w:rsidRPr="00323959" w:rsidRDefault="007155BB" w:rsidP="00323959">
      <w:pPr>
        <w:spacing w:line="480" w:lineRule="auto"/>
        <w:jc w:val="both"/>
        <w:rPr>
          <w:rFonts w:ascii="Times New Roman" w:hAnsi="Times New Roman" w:cs="Times New Roman"/>
          <w:sz w:val="24"/>
          <w:szCs w:val="24"/>
        </w:rPr>
      </w:pPr>
      <w:r w:rsidRPr="00323959">
        <w:rPr>
          <w:rFonts w:ascii="Times New Roman" w:hAnsi="Times New Roman" w:cs="Times New Roman"/>
          <w:sz w:val="24"/>
          <w:szCs w:val="24"/>
        </w:rPr>
        <w:lastRenderedPageBreak/>
        <w:t>The Exclusionary Rule" and discuss its application in a criminal case.</w:t>
      </w:r>
    </w:p>
    <w:p w:rsidR="007155BB" w:rsidRPr="00323959" w:rsidRDefault="007155BB" w:rsidP="007B2968">
      <w:pPr>
        <w:spacing w:line="480" w:lineRule="auto"/>
        <w:ind w:firstLine="720"/>
        <w:jc w:val="both"/>
        <w:rPr>
          <w:rFonts w:ascii="Times New Roman" w:hAnsi="Times New Roman" w:cs="Times New Roman"/>
          <w:sz w:val="24"/>
          <w:szCs w:val="24"/>
        </w:rPr>
      </w:pPr>
      <w:r w:rsidRPr="00323959">
        <w:rPr>
          <w:rFonts w:ascii="Times New Roman" w:hAnsi="Times New Roman" w:cs="Times New Roman"/>
          <w:sz w:val="24"/>
          <w:szCs w:val="24"/>
        </w:rPr>
        <w:t xml:space="preserve">The exclusionary rule ensures evidence collected in violation of the accused constitutional right is not used in court. The fourth amendment projects this by stating that citizens have a right to housing and privacy, and the state cannot violate the fourth amendment rights unless the law enforcers have a warrant and there is probable cause. In the case of </w:t>
      </w:r>
      <w:proofErr w:type="spellStart"/>
      <w:r w:rsidRPr="00323959">
        <w:rPr>
          <w:rFonts w:ascii="Times New Roman" w:hAnsi="Times New Roman" w:cs="Times New Roman"/>
          <w:sz w:val="24"/>
          <w:szCs w:val="24"/>
        </w:rPr>
        <w:t>Mapp</w:t>
      </w:r>
      <w:proofErr w:type="spellEnd"/>
      <w:r w:rsidRPr="00323959">
        <w:rPr>
          <w:rFonts w:ascii="Times New Roman" w:hAnsi="Times New Roman" w:cs="Times New Roman"/>
          <w:sz w:val="24"/>
          <w:szCs w:val="24"/>
        </w:rPr>
        <w:t xml:space="preserve"> v Ohio, the court established the exclusionary rule to prevent unreasonable searches</w:t>
      </w:r>
      <w:r w:rsidR="00323959">
        <w:rPr>
          <w:rFonts w:ascii="Times New Roman" w:hAnsi="Times New Roman" w:cs="Times New Roman"/>
          <w:sz w:val="24"/>
          <w:szCs w:val="24"/>
        </w:rPr>
        <w:t xml:space="preserve"> that violate the 4th amendment (</w:t>
      </w:r>
      <w:r w:rsidR="00323959">
        <w:rPr>
          <w:rFonts w:ascii="Times New Roman" w:hAnsi="Times New Roman" w:cs="Times New Roman"/>
          <w:color w:val="222222"/>
          <w:sz w:val="24"/>
          <w:szCs w:val="24"/>
          <w:shd w:val="clear" w:color="auto" w:fill="FFFFFF"/>
        </w:rPr>
        <w:t xml:space="preserve">Cloud, M. </w:t>
      </w:r>
      <w:r w:rsidR="00323959" w:rsidRPr="00323959">
        <w:rPr>
          <w:rFonts w:ascii="Times New Roman" w:hAnsi="Times New Roman" w:cs="Times New Roman"/>
          <w:color w:val="222222"/>
          <w:sz w:val="24"/>
          <w:szCs w:val="24"/>
          <w:shd w:val="clear" w:color="auto" w:fill="FFFFFF"/>
        </w:rPr>
        <w:t>2021)</w:t>
      </w:r>
      <w:r w:rsidRPr="00323959">
        <w:rPr>
          <w:rFonts w:ascii="Times New Roman" w:hAnsi="Times New Roman" w:cs="Times New Roman"/>
          <w:sz w:val="24"/>
          <w:szCs w:val="24"/>
        </w:rPr>
        <w:t xml:space="preserve"> </w:t>
      </w:r>
      <w:proofErr w:type="gramStart"/>
      <w:r w:rsidRPr="00323959">
        <w:rPr>
          <w:rFonts w:ascii="Times New Roman" w:hAnsi="Times New Roman" w:cs="Times New Roman"/>
          <w:sz w:val="24"/>
          <w:szCs w:val="24"/>
        </w:rPr>
        <w:t>The</w:t>
      </w:r>
      <w:proofErr w:type="gramEnd"/>
      <w:r w:rsidRPr="00323959">
        <w:rPr>
          <w:rFonts w:ascii="Times New Roman" w:hAnsi="Times New Roman" w:cs="Times New Roman"/>
          <w:sz w:val="24"/>
          <w:szCs w:val="24"/>
        </w:rPr>
        <w:t xml:space="preserve"> exclusionary rule is not absolute, and it has exceptions where evidence collected can be used in a proceeding. The first exception is when an officer of the law is acting in good faith, and he has a general presumption that the warrant is valid, but it turns out to be invalid. The second exception is the inevitable doctrine procedure. The exception applies when the collected evidence from the accused would have been collected in the same way through a lawful means that was in the process. The last exception is when the searches and seizures are remotely connected to the fourth amendment</w:t>
      </w:r>
      <w:proofErr w:type="gramStart"/>
      <w:r w:rsidRPr="00323959">
        <w:rPr>
          <w:rFonts w:ascii="Times New Roman" w:hAnsi="Times New Roman" w:cs="Times New Roman"/>
          <w:sz w:val="24"/>
          <w:szCs w:val="24"/>
        </w:rPr>
        <w:t>.</w:t>
      </w:r>
      <w:r w:rsidR="00323959">
        <w:rPr>
          <w:rFonts w:ascii="Times New Roman" w:hAnsi="Times New Roman" w:cs="Times New Roman"/>
          <w:sz w:val="24"/>
          <w:szCs w:val="24"/>
        </w:rPr>
        <w:t>(</w:t>
      </w:r>
      <w:proofErr w:type="spellStart"/>
      <w:proofErr w:type="gramEnd"/>
      <w:r w:rsidR="00323959" w:rsidRPr="00323959">
        <w:rPr>
          <w:rFonts w:ascii="Times New Roman" w:hAnsi="Times New Roman" w:cs="Times New Roman"/>
          <w:color w:val="222222"/>
          <w:sz w:val="24"/>
          <w:szCs w:val="24"/>
          <w:shd w:val="clear" w:color="auto" w:fill="FFFFFF"/>
        </w:rPr>
        <w:t>Durling</w:t>
      </w:r>
      <w:proofErr w:type="spellEnd"/>
      <w:r w:rsidR="00323959" w:rsidRPr="00323959">
        <w:rPr>
          <w:rFonts w:ascii="Times New Roman" w:hAnsi="Times New Roman" w:cs="Times New Roman"/>
          <w:color w:val="222222"/>
          <w:sz w:val="24"/>
          <w:szCs w:val="24"/>
          <w:shd w:val="clear" w:color="auto" w:fill="FFFFFF"/>
        </w:rPr>
        <w:t>, J. (2018)</w:t>
      </w:r>
      <w:r w:rsidRPr="00323959">
        <w:rPr>
          <w:rFonts w:ascii="Times New Roman" w:hAnsi="Times New Roman" w:cs="Times New Roman"/>
          <w:sz w:val="24"/>
          <w:szCs w:val="24"/>
        </w:rPr>
        <w:t xml:space="preserve"> In Miranda v Arizona, the exclusionary rule is established when the self-incriminatory statements collected from the accused violate the Fifth Amendment. Further, when the evidence gathered where the go</w:t>
      </w:r>
      <w:r w:rsidR="00323959">
        <w:rPr>
          <w:rFonts w:ascii="Times New Roman" w:hAnsi="Times New Roman" w:cs="Times New Roman"/>
          <w:sz w:val="24"/>
          <w:szCs w:val="24"/>
        </w:rPr>
        <w:t xml:space="preserve">vernment violated the accused </w:t>
      </w:r>
      <w:r w:rsidRPr="00323959">
        <w:rPr>
          <w:rFonts w:ascii="Times New Roman" w:hAnsi="Times New Roman" w:cs="Times New Roman"/>
          <w:sz w:val="24"/>
          <w:szCs w:val="24"/>
        </w:rPr>
        <w:t>right to counsel.</w:t>
      </w:r>
    </w:p>
    <w:p w:rsidR="007155BB" w:rsidRPr="00323959" w:rsidRDefault="007155BB" w:rsidP="007B2968">
      <w:pPr>
        <w:spacing w:line="480" w:lineRule="auto"/>
        <w:ind w:firstLine="720"/>
        <w:jc w:val="both"/>
        <w:rPr>
          <w:rFonts w:ascii="Times New Roman" w:hAnsi="Times New Roman" w:cs="Times New Roman"/>
          <w:sz w:val="24"/>
          <w:szCs w:val="24"/>
        </w:rPr>
      </w:pPr>
      <w:r w:rsidRPr="00323959">
        <w:rPr>
          <w:rFonts w:ascii="Times New Roman" w:hAnsi="Times New Roman" w:cs="Times New Roman"/>
          <w:sz w:val="24"/>
          <w:szCs w:val="24"/>
        </w:rPr>
        <w:t>The exclusionary rule is used to protect the rights of the accused. The rule ensures that the state doesn't gather evidence by breaking one right. The court created the rule as a remedy and prevention from searches and seizures that violated the fourth amendment. This rule establishes a remedy to the accused whose rights are infringed. The exclusionary rule only applies to criminal cases and only in primary evidence.</w:t>
      </w:r>
      <w:r w:rsidR="00323959">
        <w:rPr>
          <w:rFonts w:ascii="Times New Roman" w:hAnsi="Times New Roman" w:cs="Times New Roman"/>
          <w:sz w:val="24"/>
          <w:szCs w:val="24"/>
        </w:rPr>
        <w:t xml:space="preserve"> Secondary evidence is referred to as fruits of the poisonous tree and cannot be protected by the exclusionary rule.</w:t>
      </w:r>
    </w:p>
    <w:p w:rsidR="000011FE" w:rsidRDefault="00323959" w:rsidP="00323959">
      <w:pPr>
        <w:spacing w:line="480" w:lineRule="auto"/>
        <w:jc w:val="center"/>
        <w:rPr>
          <w:rFonts w:ascii="Times New Roman" w:hAnsi="Times New Roman" w:cs="Times New Roman"/>
          <w:b/>
          <w:sz w:val="24"/>
          <w:szCs w:val="24"/>
        </w:rPr>
      </w:pPr>
      <w:r w:rsidRPr="00323959">
        <w:rPr>
          <w:rFonts w:ascii="Times New Roman" w:hAnsi="Times New Roman" w:cs="Times New Roman"/>
          <w:b/>
          <w:sz w:val="24"/>
          <w:szCs w:val="24"/>
        </w:rPr>
        <w:lastRenderedPageBreak/>
        <w:t>References</w:t>
      </w:r>
    </w:p>
    <w:p w:rsidR="00323959" w:rsidRPr="00323959" w:rsidRDefault="00323959" w:rsidP="00323959">
      <w:pPr>
        <w:spacing w:line="480" w:lineRule="auto"/>
        <w:ind w:left="720" w:hanging="720"/>
        <w:jc w:val="center"/>
        <w:rPr>
          <w:rFonts w:ascii="Times New Roman" w:hAnsi="Times New Roman" w:cs="Times New Roman"/>
          <w:color w:val="222222"/>
          <w:sz w:val="24"/>
          <w:szCs w:val="24"/>
          <w:shd w:val="clear" w:color="auto" w:fill="FFFFFF"/>
        </w:rPr>
      </w:pPr>
      <w:r w:rsidRPr="00323959">
        <w:rPr>
          <w:rFonts w:ascii="Times New Roman" w:hAnsi="Times New Roman" w:cs="Times New Roman"/>
          <w:color w:val="222222"/>
          <w:sz w:val="24"/>
          <w:szCs w:val="24"/>
          <w:shd w:val="clear" w:color="auto" w:fill="FFFFFF"/>
        </w:rPr>
        <w:t xml:space="preserve">Cloud, M. (2021). </w:t>
      </w:r>
      <w:proofErr w:type="spellStart"/>
      <w:r w:rsidRPr="00323959">
        <w:rPr>
          <w:rFonts w:ascii="Times New Roman" w:hAnsi="Times New Roman" w:cs="Times New Roman"/>
          <w:color w:val="222222"/>
          <w:sz w:val="24"/>
          <w:szCs w:val="24"/>
          <w:shd w:val="clear" w:color="auto" w:fill="FFFFFF"/>
        </w:rPr>
        <w:t>Mapp</w:t>
      </w:r>
      <w:proofErr w:type="spellEnd"/>
      <w:r w:rsidRPr="00323959">
        <w:rPr>
          <w:rFonts w:ascii="Times New Roman" w:hAnsi="Times New Roman" w:cs="Times New Roman"/>
          <w:color w:val="222222"/>
          <w:sz w:val="24"/>
          <w:szCs w:val="24"/>
          <w:shd w:val="clear" w:color="auto" w:fill="FFFFFF"/>
        </w:rPr>
        <w:t xml:space="preserve"> v. Ohio, the Exclusionary Rule, and Constitutional Judicial Review. In </w:t>
      </w:r>
      <w:r w:rsidRPr="00323959">
        <w:rPr>
          <w:rFonts w:ascii="Times New Roman" w:hAnsi="Times New Roman" w:cs="Times New Roman"/>
          <w:i/>
          <w:iCs/>
          <w:color w:val="222222"/>
          <w:sz w:val="24"/>
          <w:szCs w:val="24"/>
          <w:shd w:val="clear" w:color="auto" w:fill="FFFFFF"/>
        </w:rPr>
        <w:t>Oxford Research Encyclopedia of American History</w:t>
      </w:r>
      <w:r w:rsidRPr="00323959">
        <w:rPr>
          <w:rFonts w:ascii="Times New Roman" w:hAnsi="Times New Roman" w:cs="Times New Roman"/>
          <w:color w:val="222222"/>
          <w:sz w:val="24"/>
          <w:szCs w:val="24"/>
          <w:shd w:val="clear" w:color="auto" w:fill="FFFFFF"/>
        </w:rPr>
        <w:t>.</w:t>
      </w:r>
    </w:p>
    <w:p w:rsidR="00323959" w:rsidRPr="00323959" w:rsidRDefault="00323959" w:rsidP="00323959">
      <w:pPr>
        <w:spacing w:line="480" w:lineRule="auto"/>
        <w:ind w:left="720" w:hanging="720"/>
        <w:jc w:val="center"/>
        <w:rPr>
          <w:rFonts w:ascii="Times New Roman" w:hAnsi="Times New Roman" w:cs="Times New Roman"/>
          <w:color w:val="222222"/>
          <w:sz w:val="24"/>
          <w:szCs w:val="24"/>
          <w:shd w:val="clear" w:color="auto" w:fill="FFFFFF"/>
        </w:rPr>
      </w:pPr>
      <w:proofErr w:type="spellStart"/>
      <w:r w:rsidRPr="00323959">
        <w:rPr>
          <w:rFonts w:ascii="Times New Roman" w:hAnsi="Times New Roman" w:cs="Times New Roman"/>
          <w:color w:val="222222"/>
          <w:sz w:val="24"/>
          <w:szCs w:val="24"/>
          <w:shd w:val="clear" w:color="auto" w:fill="FFFFFF"/>
        </w:rPr>
        <w:t>Durling</w:t>
      </w:r>
      <w:proofErr w:type="spellEnd"/>
      <w:r w:rsidRPr="00323959">
        <w:rPr>
          <w:rFonts w:ascii="Times New Roman" w:hAnsi="Times New Roman" w:cs="Times New Roman"/>
          <w:color w:val="222222"/>
          <w:sz w:val="24"/>
          <w:szCs w:val="24"/>
          <w:shd w:val="clear" w:color="auto" w:fill="FFFFFF"/>
        </w:rPr>
        <w:t xml:space="preserve">, J. (2018). The </w:t>
      </w:r>
      <w:proofErr w:type="spellStart"/>
      <w:r w:rsidRPr="00323959">
        <w:rPr>
          <w:rFonts w:ascii="Times New Roman" w:hAnsi="Times New Roman" w:cs="Times New Roman"/>
          <w:color w:val="222222"/>
          <w:sz w:val="24"/>
          <w:szCs w:val="24"/>
          <w:shd w:val="clear" w:color="auto" w:fill="FFFFFF"/>
        </w:rPr>
        <w:t>Intercircuit</w:t>
      </w:r>
      <w:proofErr w:type="spellEnd"/>
      <w:r w:rsidRPr="00323959">
        <w:rPr>
          <w:rFonts w:ascii="Times New Roman" w:hAnsi="Times New Roman" w:cs="Times New Roman"/>
          <w:color w:val="222222"/>
          <w:sz w:val="24"/>
          <w:szCs w:val="24"/>
          <w:shd w:val="clear" w:color="auto" w:fill="FFFFFF"/>
        </w:rPr>
        <w:t xml:space="preserve"> Exclusionary Rule. </w:t>
      </w:r>
      <w:r w:rsidRPr="00323959">
        <w:rPr>
          <w:rFonts w:ascii="Times New Roman" w:hAnsi="Times New Roman" w:cs="Times New Roman"/>
          <w:i/>
          <w:iCs/>
          <w:color w:val="222222"/>
          <w:sz w:val="24"/>
          <w:szCs w:val="24"/>
          <w:shd w:val="clear" w:color="auto" w:fill="FFFFFF"/>
        </w:rPr>
        <w:t>Yale LJ</w:t>
      </w:r>
      <w:r w:rsidRPr="00323959">
        <w:rPr>
          <w:rFonts w:ascii="Times New Roman" w:hAnsi="Times New Roman" w:cs="Times New Roman"/>
          <w:color w:val="222222"/>
          <w:sz w:val="24"/>
          <w:szCs w:val="24"/>
          <w:shd w:val="clear" w:color="auto" w:fill="FFFFFF"/>
        </w:rPr>
        <w:t>, </w:t>
      </w:r>
      <w:r w:rsidRPr="00323959">
        <w:rPr>
          <w:rFonts w:ascii="Times New Roman" w:hAnsi="Times New Roman" w:cs="Times New Roman"/>
          <w:i/>
          <w:iCs/>
          <w:color w:val="222222"/>
          <w:sz w:val="24"/>
          <w:szCs w:val="24"/>
          <w:shd w:val="clear" w:color="auto" w:fill="FFFFFF"/>
        </w:rPr>
        <w:t>128</w:t>
      </w:r>
      <w:r w:rsidRPr="00323959">
        <w:rPr>
          <w:rFonts w:ascii="Times New Roman" w:hAnsi="Times New Roman" w:cs="Times New Roman"/>
          <w:color w:val="222222"/>
          <w:sz w:val="24"/>
          <w:szCs w:val="24"/>
          <w:shd w:val="clear" w:color="auto" w:fill="FFFFFF"/>
        </w:rPr>
        <w:t>, 231.</w:t>
      </w:r>
    </w:p>
    <w:p w:rsidR="00323959" w:rsidRPr="00323959" w:rsidRDefault="00323959" w:rsidP="00323959">
      <w:pPr>
        <w:spacing w:line="480" w:lineRule="auto"/>
        <w:ind w:left="720" w:hanging="720"/>
        <w:jc w:val="center"/>
        <w:rPr>
          <w:rFonts w:ascii="Times New Roman" w:hAnsi="Times New Roman" w:cs="Times New Roman"/>
          <w:b/>
          <w:sz w:val="24"/>
          <w:szCs w:val="24"/>
        </w:rPr>
      </w:pPr>
    </w:p>
    <w:sectPr w:rsidR="00323959" w:rsidRPr="00323959" w:rsidSect="003E6D8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0985" w:rsidRDefault="00720985" w:rsidP="003E6D83">
      <w:pPr>
        <w:spacing w:after="0" w:line="240" w:lineRule="auto"/>
      </w:pPr>
      <w:r>
        <w:separator/>
      </w:r>
    </w:p>
  </w:endnote>
  <w:endnote w:type="continuationSeparator" w:id="0">
    <w:p w:rsidR="00720985" w:rsidRDefault="00720985" w:rsidP="003E6D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0985" w:rsidRDefault="00720985" w:rsidP="003E6D83">
      <w:pPr>
        <w:spacing w:after="0" w:line="240" w:lineRule="auto"/>
      </w:pPr>
      <w:r>
        <w:separator/>
      </w:r>
    </w:p>
  </w:footnote>
  <w:footnote w:type="continuationSeparator" w:id="0">
    <w:p w:rsidR="00720985" w:rsidRDefault="00720985" w:rsidP="003E6D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83" w:rsidRDefault="003E6D83">
    <w:pPr>
      <w:pStyle w:val="Header"/>
      <w:jc w:val="right"/>
    </w:pPr>
    <w:r>
      <w:t>Exclusionary Rule</w:t>
    </w:r>
    <w:r w:rsidR="00293330">
      <w:tab/>
    </w:r>
    <w:r w:rsidR="00293330">
      <w:tab/>
    </w:r>
    <w:r>
      <w:t xml:space="preserve"> </w:t>
    </w:r>
    <w:sdt>
      <w:sdtPr>
        <w:id w:val="-1935261529"/>
        <w:docPartObj>
          <w:docPartGallery w:val="Page Numbers (Top of Page)"/>
          <w:docPartUnique/>
        </w:docPartObj>
      </w:sdtPr>
      <w:sdtContent>
        <w:fldSimple w:instr=" PAGE   \* MERGEFORMAT ">
          <w:r w:rsidR="00EF1690">
            <w:rPr>
              <w:noProof/>
            </w:rPr>
            <w:t>3</w:t>
          </w:r>
        </w:fldSimple>
      </w:sdtContent>
    </w:sdt>
  </w:p>
  <w:p w:rsidR="003E6D83" w:rsidRDefault="003E6D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330" w:rsidRDefault="00293330">
    <w:pPr>
      <w:pStyle w:val="Header"/>
    </w:pPr>
    <w:r>
      <w:t>Running Head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A64086"/>
    <w:multiLevelType w:val="hybridMultilevel"/>
    <w:tmpl w:val="1F10EE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B321CA"/>
    <w:rsid w:val="000011FE"/>
    <w:rsid w:val="00293330"/>
    <w:rsid w:val="00323959"/>
    <w:rsid w:val="003E6D83"/>
    <w:rsid w:val="00557164"/>
    <w:rsid w:val="005F2293"/>
    <w:rsid w:val="007155BB"/>
    <w:rsid w:val="00720985"/>
    <w:rsid w:val="007A0AD8"/>
    <w:rsid w:val="007B2968"/>
    <w:rsid w:val="00AE54A6"/>
    <w:rsid w:val="00B05C09"/>
    <w:rsid w:val="00B321CA"/>
    <w:rsid w:val="00BE7EB9"/>
    <w:rsid w:val="00CC3879"/>
    <w:rsid w:val="00EF1690"/>
    <w:rsid w:val="00F368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4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11FE"/>
    <w:pPr>
      <w:ind w:left="720"/>
      <w:contextualSpacing/>
    </w:pPr>
  </w:style>
  <w:style w:type="character" w:styleId="Hyperlink">
    <w:name w:val="Hyperlink"/>
    <w:basedOn w:val="DefaultParagraphFont"/>
    <w:uiPriority w:val="99"/>
    <w:semiHidden/>
    <w:unhideWhenUsed/>
    <w:rsid w:val="00B05C09"/>
    <w:rPr>
      <w:color w:val="0000FF"/>
      <w:u w:val="single"/>
    </w:rPr>
  </w:style>
  <w:style w:type="paragraph" w:styleId="Header">
    <w:name w:val="header"/>
    <w:basedOn w:val="Normal"/>
    <w:link w:val="HeaderChar"/>
    <w:uiPriority w:val="99"/>
    <w:unhideWhenUsed/>
    <w:rsid w:val="003E6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D83"/>
  </w:style>
  <w:style w:type="paragraph" w:styleId="Footer">
    <w:name w:val="footer"/>
    <w:basedOn w:val="Normal"/>
    <w:link w:val="FooterChar"/>
    <w:uiPriority w:val="99"/>
    <w:semiHidden/>
    <w:unhideWhenUsed/>
    <w:rsid w:val="003E6D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E6D8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prime</cp:lastModifiedBy>
  <cp:revision>2</cp:revision>
  <dcterms:created xsi:type="dcterms:W3CDTF">2021-10-05T21:34:00Z</dcterms:created>
  <dcterms:modified xsi:type="dcterms:W3CDTF">2021-10-05T21:34:00Z</dcterms:modified>
</cp:coreProperties>
</file>